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F8" w:rsidRDefault="002B22F8">
      <w:pPr>
        <w:pStyle w:val="ConsPlusNormal"/>
        <w:jc w:val="both"/>
        <w:outlineLvl w:val="0"/>
      </w:pPr>
      <w:bookmarkStart w:id="0" w:name="_GoBack"/>
      <w:bookmarkEnd w:id="0"/>
    </w:p>
    <w:p w:rsidR="002B22F8" w:rsidRDefault="002B22F8">
      <w:pPr>
        <w:pStyle w:val="ConsPlusNormal"/>
        <w:outlineLvl w:val="0"/>
      </w:pPr>
      <w:r>
        <w:t>Зарегистрировано в Минюсте России 9 ноября 2011 г. N 22255</w:t>
      </w:r>
    </w:p>
    <w:p w:rsidR="002B22F8" w:rsidRDefault="002B22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22F8" w:rsidRDefault="002B22F8">
      <w:pPr>
        <w:pStyle w:val="ConsPlusNormal"/>
      </w:pPr>
    </w:p>
    <w:p w:rsidR="002B22F8" w:rsidRDefault="002B22F8">
      <w:pPr>
        <w:pStyle w:val="ConsPlusTitle"/>
        <w:jc w:val="center"/>
      </w:pPr>
      <w:r>
        <w:t>ФЕДЕРАЛЬНАЯ СЛУЖБА ПО ТАРИФАМ</w:t>
      </w:r>
    </w:p>
    <w:p w:rsidR="002B22F8" w:rsidRDefault="002B22F8">
      <w:pPr>
        <w:pStyle w:val="ConsPlusTitle"/>
        <w:jc w:val="center"/>
      </w:pPr>
    </w:p>
    <w:p w:rsidR="002B22F8" w:rsidRDefault="002B22F8">
      <w:pPr>
        <w:pStyle w:val="ConsPlusTitle"/>
        <w:jc w:val="center"/>
      </w:pPr>
      <w:r>
        <w:t>ПРИКАЗ</w:t>
      </w:r>
    </w:p>
    <w:p w:rsidR="002B22F8" w:rsidRDefault="002B22F8">
      <w:pPr>
        <w:pStyle w:val="ConsPlusTitle"/>
        <w:jc w:val="center"/>
      </w:pPr>
      <w:r>
        <w:t>от 18 октября 2011 г. N 642-а</w:t>
      </w:r>
    </w:p>
    <w:p w:rsidR="002B22F8" w:rsidRDefault="002B22F8">
      <w:pPr>
        <w:pStyle w:val="ConsPlusTitle"/>
        <w:jc w:val="center"/>
      </w:pPr>
    </w:p>
    <w:p w:rsidR="002B22F8" w:rsidRDefault="002B22F8">
      <w:pPr>
        <w:pStyle w:val="ConsPlusTitle"/>
        <w:jc w:val="center"/>
      </w:pPr>
      <w:r>
        <w:t>ОБ УТВЕРЖДЕНИИ МЕТОДИКИ</w:t>
      </w:r>
    </w:p>
    <w:p w:rsidR="002B22F8" w:rsidRDefault="002B22F8">
      <w:pPr>
        <w:pStyle w:val="ConsPlusTitle"/>
        <w:jc w:val="center"/>
      </w:pPr>
      <w:r>
        <w:t>РАСЧЕТА ПРЕДЕЛЬНОГО РАЗМЕРА ПЛАТЫ ЗА ПРОВЕДЕНИЕ</w:t>
      </w:r>
    </w:p>
    <w:p w:rsidR="002B22F8" w:rsidRDefault="002B22F8">
      <w:pPr>
        <w:pStyle w:val="ConsPlusTitle"/>
        <w:jc w:val="center"/>
      </w:pPr>
      <w:r>
        <w:t>ТЕХНИЧЕСКОГО ОСМОТРА</w:t>
      </w:r>
    </w:p>
    <w:p w:rsidR="002B22F8" w:rsidRDefault="002B22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B22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22F8" w:rsidRDefault="002B22F8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2B22F8" w:rsidRDefault="002B22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ФСТ России от 26.11.2012 N 751-а)</w:t>
            </w:r>
          </w:p>
        </w:tc>
      </w:tr>
    </w:tbl>
    <w:p w:rsidR="002B22F8" w:rsidRDefault="002B22F8">
      <w:pPr>
        <w:pStyle w:val="ConsPlusNormal"/>
        <w:jc w:val="center"/>
      </w:pPr>
    </w:p>
    <w:p w:rsidR="002B22F8" w:rsidRDefault="002B22F8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16</w:t>
        </w:r>
      </w:hyperlink>
      <w:r>
        <w:t xml:space="preserve"> Федерального закона от 1 июля 2011 г. N 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Федерации, 2011, N 27, ст. 3881) приказываю:</w:t>
      </w:r>
      <w:proofErr w:type="gramEnd"/>
    </w:p>
    <w:p w:rsidR="002B22F8" w:rsidRDefault="002B22F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Методику</w:t>
        </w:r>
      </w:hyperlink>
      <w:r>
        <w:t xml:space="preserve"> расчета предельного размера платы за проведение технического осмотра согласно приложению к настоящему Приказу.</w:t>
      </w:r>
    </w:p>
    <w:p w:rsidR="002B22F8" w:rsidRDefault="002B22F8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2012 года.</w:t>
      </w:r>
    </w:p>
    <w:p w:rsidR="002B22F8" w:rsidRDefault="002B22F8">
      <w:pPr>
        <w:pStyle w:val="ConsPlusNormal"/>
        <w:ind w:firstLine="540"/>
        <w:jc w:val="both"/>
      </w:pPr>
    </w:p>
    <w:p w:rsidR="002B22F8" w:rsidRDefault="002B22F8">
      <w:pPr>
        <w:pStyle w:val="ConsPlusNormal"/>
        <w:jc w:val="right"/>
      </w:pPr>
      <w:r>
        <w:t>Руководитель</w:t>
      </w:r>
    </w:p>
    <w:p w:rsidR="002B22F8" w:rsidRDefault="002B22F8">
      <w:pPr>
        <w:pStyle w:val="ConsPlusNormal"/>
        <w:jc w:val="right"/>
      </w:pPr>
      <w:r>
        <w:t>Федеральной службы по тарифам</w:t>
      </w:r>
    </w:p>
    <w:p w:rsidR="002B22F8" w:rsidRDefault="002B22F8">
      <w:pPr>
        <w:pStyle w:val="ConsPlusNormal"/>
        <w:jc w:val="right"/>
      </w:pPr>
      <w:r>
        <w:t>С.НОВИКОВ</w:t>
      </w:r>
    </w:p>
    <w:p w:rsidR="002B22F8" w:rsidRDefault="002B22F8">
      <w:pPr>
        <w:pStyle w:val="ConsPlusNormal"/>
        <w:jc w:val="right"/>
      </w:pPr>
    </w:p>
    <w:p w:rsidR="002B22F8" w:rsidRDefault="002B22F8">
      <w:pPr>
        <w:pStyle w:val="ConsPlusNormal"/>
        <w:jc w:val="right"/>
      </w:pPr>
    </w:p>
    <w:p w:rsidR="002B22F8" w:rsidRDefault="002B22F8">
      <w:pPr>
        <w:pStyle w:val="ConsPlusNormal"/>
        <w:jc w:val="right"/>
      </w:pPr>
    </w:p>
    <w:p w:rsidR="002B22F8" w:rsidRDefault="002B22F8">
      <w:pPr>
        <w:pStyle w:val="ConsPlusNormal"/>
        <w:jc w:val="right"/>
      </w:pPr>
    </w:p>
    <w:p w:rsidR="002B22F8" w:rsidRDefault="002B22F8">
      <w:pPr>
        <w:pStyle w:val="ConsPlusNormal"/>
        <w:jc w:val="right"/>
      </w:pPr>
    </w:p>
    <w:p w:rsidR="002B22F8" w:rsidRDefault="002B22F8">
      <w:pPr>
        <w:pStyle w:val="ConsPlusNormal"/>
        <w:jc w:val="right"/>
        <w:outlineLvl w:val="0"/>
      </w:pPr>
      <w:r>
        <w:t>Приложение</w:t>
      </w:r>
    </w:p>
    <w:p w:rsidR="002B22F8" w:rsidRDefault="002B22F8">
      <w:pPr>
        <w:pStyle w:val="ConsPlusNormal"/>
        <w:jc w:val="right"/>
      </w:pPr>
      <w:r>
        <w:t>к Приказу</w:t>
      </w:r>
    </w:p>
    <w:p w:rsidR="002B22F8" w:rsidRDefault="002B22F8">
      <w:pPr>
        <w:pStyle w:val="ConsPlusNormal"/>
        <w:jc w:val="right"/>
      </w:pPr>
      <w:r>
        <w:t>Федеральной службы по тарифам</w:t>
      </w:r>
    </w:p>
    <w:p w:rsidR="002B22F8" w:rsidRDefault="002B22F8">
      <w:pPr>
        <w:pStyle w:val="ConsPlusNormal"/>
        <w:jc w:val="right"/>
      </w:pPr>
      <w:r>
        <w:t>от 18 октября 2011 г. N 642-а</w:t>
      </w:r>
    </w:p>
    <w:p w:rsidR="002B22F8" w:rsidRDefault="002B22F8">
      <w:pPr>
        <w:pStyle w:val="ConsPlusNormal"/>
        <w:jc w:val="right"/>
      </w:pPr>
    </w:p>
    <w:p w:rsidR="002B22F8" w:rsidRDefault="002B22F8">
      <w:pPr>
        <w:pStyle w:val="ConsPlusTitle"/>
        <w:jc w:val="center"/>
      </w:pPr>
      <w:bookmarkStart w:id="1" w:name="P32"/>
      <w:bookmarkEnd w:id="1"/>
      <w:r>
        <w:t>МЕТОДИКА</w:t>
      </w:r>
    </w:p>
    <w:p w:rsidR="002B22F8" w:rsidRDefault="002B22F8">
      <w:pPr>
        <w:pStyle w:val="ConsPlusTitle"/>
        <w:jc w:val="center"/>
      </w:pPr>
      <w:r>
        <w:t>РАСЧЕТА ПРЕДЕЛЬНОГО РАЗМЕРА ПЛАТЫ ЗА ПРОВЕДЕНИЕ</w:t>
      </w:r>
    </w:p>
    <w:p w:rsidR="002B22F8" w:rsidRDefault="002B22F8">
      <w:pPr>
        <w:pStyle w:val="ConsPlusTitle"/>
        <w:jc w:val="center"/>
      </w:pPr>
      <w:r>
        <w:t>ТЕХНИЧЕСКОГО ОСМОТРА</w:t>
      </w:r>
    </w:p>
    <w:p w:rsidR="002B22F8" w:rsidRDefault="002B22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B22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22F8" w:rsidRDefault="002B22F8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2B22F8" w:rsidRDefault="002B22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ФСТ России от 26.11.2012 N 751-а)</w:t>
            </w:r>
          </w:p>
        </w:tc>
      </w:tr>
    </w:tbl>
    <w:p w:rsidR="002B22F8" w:rsidRDefault="002B22F8">
      <w:pPr>
        <w:pStyle w:val="ConsPlusNormal"/>
        <w:jc w:val="center"/>
      </w:pPr>
    </w:p>
    <w:p w:rsidR="002B22F8" w:rsidRDefault="002B22F8">
      <w:pPr>
        <w:pStyle w:val="ConsPlusNormal"/>
        <w:jc w:val="center"/>
        <w:outlineLvl w:val="1"/>
      </w:pPr>
      <w:r>
        <w:t>1. Общие положения</w:t>
      </w:r>
    </w:p>
    <w:p w:rsidR="002B22F8" w:rsidRDefault="002B22F8">
      <w:pPr>
        <w:pStyle w:val="ConsPlusNormal"/>
        <w:ind w:firstLine="540"/>
        <w:jc w:val="both"/>
      </w:pPr>
    </w:p>
    <w:p w:rsidR="002B22F8" w:rsidRDefault="002B22F8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Настоящая Методика расчета предельного размера платы за проведение технического осмотра (далее - Методика) разработана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 июля 2011 г. N 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</w:t>
      </w:r>
      <w:r>
        <w:lastRenderedPageBreak/>
        <w:t>Федерации, 2011, N 27, ст. 3881) (далее - Федеральный закон).</w:t>
      </w:r>
      <w:proofErr w:type="gramEnd"/>
    </w:p>
    <w:p w:rsidR="002B22F8" w:rsidRDefault="002B22F8">
      <w:pPr>
        <w:pStyle w:val="ConsPlusNormal"/>
        <w:spacing w:before="220"/>
        <w:ind w:firstLine="540"/>
        <w:jc w:val="both"/>
      </w:pPr>
      <w:r>
        <w:t>1.2. Методика определяет порядок расчета предельного размера платы за проведение технического осмотра (далее - предельный размер платы за проведение ТО) транспортных средств, в том числе с использованием средств технического диагностирования в Российской Федерации.</w:t>
      </w:r>
    </w:p>
    <w:p w:rsidR="002B22F8" w:rsidRDefault="002B22F8">
      <w:pPr>
        <w:pStyle w:val="ConsPlusNormal"/>
        <w:spacing w:before="220"/>
        <w:ind w:firstLine="540"/>
        <w:jc w:val="both"/>
      </w:pPr>
      <w:r>
        <w:t xml:space="preserve">1.3. Понятия, используемые в настоящей Методике, соответствуют определениям, данным в Федеральном </w:t>
      </w:r>
      <w:hyperlink r:id="rId9" w:history="1">
        <w:r>
          <w:rPr>
            <w:color w:val="0000FF"/>
          </w:rPr>
          <w:t>законе</w:t>
        </w:r>
      </w:hyperlink>
      <w:r>
        <w:t>.</w:t>
      </w:r>
    </w:p>
    <w:p w:rsidR="002B22F8" w:rsidRDefault="002B22F8">
      <w:pPr>
        <w:pStyle w:val="ConsPlusNormal"/>
        <w:spacing w:before="220"/>
        <w:ind w:firstLine="540"/>
        <w:jc w:val="both"/>
      </w:pPr>
      <w:r>
        <w:t xml:space="preserve">1.4. Методика предназначена для использования высшими исполнительными органами государственной власти субъектов Российской Федерации, которые в соответствии с </w:t>
      </w:r>
      <w:hyperlink r:id="rId10" w:history="1">
        <w:r>
          <w:rPr>
            <w:color w:val="0000FF"/>
          </w:rPr>
          <w:t>частью 3 статьи 16</w:t>
        </w:r>
      </w:hyperlink>
      <w:r>
        <w:t xml:space="preserve"> Федерального закона устанавливают предельный размер платы за проведение ТО.</w:t>
      </w:r>
    </w:p>
    <w:p w:rsidR="002B22F8" w:rsidRDefault="002B22F8">
      <w:pPr>
        <w:pStyle w:val="ConsPlusNormal"/>
        <w:ind w:firstLine="540"/>
        <w:jc w:val="both"/>
      </w:pPr>
    </w:p>
    <w:p w:rsidR="002B22F8" w:rsidRDefault="002B22F8">
      <w:pPr>
        <w:pStyle w:val="ConsPlusNormal"/>
        <w:jc w:val="center"/>
        <w:outlineLvl w:val="1"/>
      </w:pPr>
      <w:r>
        <w:t>II. Основные принципы расчета тарифов</w:t>
      </w:r>
    </w:p>
    <w:p w:rsidR="002B22F8" w:rsidRDefault="002B22F8">
      <w:pPr>
        <w:pStyle w:val="ConsPlusNormal"/>
        <w:ind w:firstLine="540"/>
        <w:jc w:val="both"/>
      </w:pPr>
    </w:p>
    <w:p w:rsidR="002B22F8" w:rsidRDefault="002B22F8">
      <w:pPr>
        <w:pStyle w:val="ConsPlusNormal"/>
        <w:ind w:firstLine="540"/>
        <w:jc w:val="both"/>
      </w:pPr>
      <w:r>
        <w:t>2.1. Предельный размер платы за проведение ТО должен обеспечивать возмещение экономически обоснованных и документально подтвержденных расходов на проведение технического осмотра и получение прибыли, необходимой для развития и финансирования расходов на проведение технического осмотра.</w:t>
      </w:r>
    </w:p>
    <w:p w:rsidR="002B22F8" w:rsidRDefault="002B22F8">
      <w:pPr>
        <w:pStyle w:val="ConsPlusNormal"/>
        <w:spacing w:before="220"/>
        <w:ind w:firstLine="540"/>
        <w:jc w:val="both"/>
      </w:pPr>
      <w:r>
        <w:t>2.2. Определение состава расходов, применяемых для расчета предельного размера платы за проведение ТО, и оценка их обоснованности производятся с учетом стоимости отдельных технологических операций.</w:t>
      </w:r>
    </w:p>
    <w:p w:rsidR="002B22F8" w:rsidRDefault="002B22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ФСТ России от 26.11.2012 N 751-а)</w:t>
      </w:r>
    </w:p>
    <w:p w:rsidR="002B22F8" w:rsidRDefault="002B22F8">
      <w:pPr>
        <w:pStyle w:val="ConsPlusNormal"/>
        <w:spacing w:before="220"/>
        <w:ind w:firstLine="540"/>
        <w:jc w:val="both"/>
      </w:pPr>
      <w:r>
        <w:t>2.3. Расчет предельного размера платы за проведение ТО производится на основании данных раздельного учета доходов и расходов по видам деятельности (раздельный учет доходов и расходов за проведение ТО и доходов и расходов от прочих видов деятельности). При установлении предельного размера платы за проведение ТО не допускается повторный учет одних и тех же расходов по различным видам деятельности.</w:t>
      </w:r>
    </w:p>
    <w:p w:rsidR="002B22F8" w:rsidRDefault="002B22F8">
      <w:pPr>
        <w:pStyle w:val="ConsPlusNormal"/>
        <w:spacing w:before="220"/>
        <w:ind w:firstLine="540"/>
        <w:jc w:val="both"/>
      </w:pPr>
      <w:r>
        <w:t>2.4. Предельный размер платы за проведение ТО рассчитывается с учетом технологии выполняемых работ путем прямого отнесения фактических расходов на себестоимость проведения технического осмотра.</w:t>
      </w:r>
    </w:p>
    <w:p w:rsidR="002B22F8" w:rsidRDefault="002B22F8">
      <w:pPr>
        <w:pStyle w:val="ConsPlusNormal"/>
        <w:spacing w:before="220"/>
        <w:ind w:firstLine="540"/>
        <w:jc w:val="both"/>
      </w:pPr>
      <w:r>
        <w:t>При расчете предельного размера платы за проведение ТО для операторов технического осмотра (далее - операторы), ранее не осуществлявших деятельность по техническому осмотру транспортных средств и не имеющих фактических данных по расходам, расчет осуществляется на основании планируемых показателей их деятельности. Планируемые показатели деятельности для таких операторов принимаются с учетом сравнительного анализа с расходами операторов, осуществляющих аналогичную деятельность.</w:t>
      </w:r>
    </w:p>
    <w:p w:rsidR="002B22F8" w:rsidRDefault="002B22F8">
      <w:pPr>
        <w:pStyle w:val="ConsPlusNormal"/>
        <w:spacing w:before="220"/>
        <w:ind w:firstLine="540"/>
        <w:jc w:val="both"/>
      </w:pPr>
      <w:r>
        <w:t>2.5. При расчете предельного размера платы за проведение ТО расходы на оплату труда определяются с учетом отраслевых тарифных соглашений, заключенных соответствующими организациями, при их наличии.</w:t>
      </w:r>
    </w:p>
    <w:p w:rsidR="002B22F8" w:rsidRDefault="002B22F8">
      <w:pPr>
        <w:pStyle w:val="ConsPlusNormal"/>
        <w:spacing w:before="220"/>
        <w:ind w:firstLine="540"/>
        <w:jc w:val="both"/>
      </w:pPr>
      <w:r>
        <w:t xml:space="preserve">2.6. </w:t>
      </w:r>
      <w:proofErr w:type="gramStart"/>
      <w:r>
        <w:t xml:space="preserve">В субъектах Российской Федерации, на территории которых установлены </w:t>
      </w:r>
      <w:hyperlink r:id="rId12" w:history="1">
        <w:r>
          <w:rPr>
            <w:color w:val="0000FF"/>
          </w:rPr>
          <w:t>районные коэффициенты</w:t>
        </w:r>
      </w:hyperlink>
      <w:r>
        <w:t xml:space="preserve"> и надбавки к заработной плате, предельный размер платы за проведение ТО для операторов, осуществляющих свою деятельность в таких районах, рассчитывается с учетом указанных коэффициентов.</w:t>
      </w:r>
      <w:proofErr w:type="gramEnd"/>
    </w:p>
    <w:p w:rsidR="002B22F8" w:rsidRDefault="002B22F8">
      <w:pPr>
        <w:pStyle w:val="ConsPlusNormal"/>
        <w:spacing w:before="220"/>
        <w:ind w:firstLine="540"/>
        <w:jc w:val="both"/>
      </w:pPr>
      <w:r>
        <w:t>2.7. Расчет предельного размера платы за проведение ТО принимается на период, равный календарному году.</w:t>
      </w:r>
    </w:p>
    <w:p w:rsidR="002B22F8" w:rsidRDefault="002B22F8">
      <w:pPr>
        <w:pStyle w:val="ConsPlusNormal"/>
        <w:ind w:firstLine="540"/>
        <w:jc w:val="both"/>
      </w:pPr>
    </w:p>
    <w:p w:rsidR="002B22F8" w:rsidRDefault="002B22F8">
      <w:pPr>
        <w:pStyle w:val="ConsPlusNormal"/>
        <w:jc w:val="center"/>
        <w:outlineLvl w:val="1"/>
      </w:pPr>
      <w:r>
        <w:t>III. Расчет предельного размера платы за проведение ТО</w:t>
      </w:r>
    </w:p>
    <w:p w:rsidR="002B22F8" w:rsidRDefault="002B22F8">
      <w:pPr>
        <w:pStyle w:val="ConsPlusNormal"/>
        <w:ind w:firstLine="540"/>
        <w:jc w:val="both"/>
      </w:pPr>
    </w:p>
    <w:p w:rsidR="002B22F8" w:rsidRDefault="002B22F8">
      <w:pPr>
        <w:pStyle w:val="ConsPlusNormal"/>
        <w:ind w:firstLine="540"/>
        <w:jc w:val="both"/>
      </w:pPr>
      <w:r>
        <w:t>3.1. Предельный размер платы за проведение ТО рассчитывается на основании представленных оператором обосновывающих материалов, включающих:</w:t>
      </w:r>
    </w:p>
    <w:p w:rsidR="002B22F8" w:rsidRDefault="002B22F8">
      <w:pPr>
        <w:pStyle w:val="ConsPlusNormal"/>
        <w:spacing w:before="220"/>
        <w:ind w:firstLine="540"/>
        <w:jc w:val="both"/>
      </w:pPr>
      <w:r>
        <w:t>- бухгалтерскую, статистическую и налоговую отчетность;</w:t>
      </w:r>
    </w:p>
    <w:p w:rsidR="002B22F8" w:rsidRDefault="002B22F8">
      <w:pPr>
        <w:pStyle w:val="ConsPlusNormal"/>
        <w:spacing w:before="220"/>
        <w:ind w:firstLine="540"/>
        <w:jc w:val="both"/>
      </w:pPr>
      <w:r>
        <w:t>- учетную политику оператора с организацией раздельного учета доходов и расходов от проведения технического осмотра транспортных средств от доходов и расходов по другим видам деятельности;</w:t>
      </w:r>
    </w:p>
    <w:p w:rsidR="002B22F8" w:rsidRDefault="002B22F8">
      <w:pPr>
        <w:pStyle w:val="ConsPlusNormal"/>
        <w:spacing w:before="220"/>
        <w:ind w:firstLine="540"/>
        <w:jc w:val="both"/>
      </w:pPr>
      <w:r>
        <w:t>- группировку расходов, относимых на проведение технического осмотра транспортных средств, по статьям расходов;</w:t>
      </w:r>
    </w:p>
    <w:p w:rsidR="002B22F8" w:rsidRDefault="002B22F8">
      <w:pPr>
        <w:pStyle w:val="ConsPlusNormal"/>
        <w:spacing w:before="220"/>
        <w:ind w:firstLine="540"/>
        <w:jc w:val="both"/>
      </w:pPr>
      <w:r>
        <w:t>- расчет прибыли, необходимой для развития и финансирования расходов на проведение технического осмотра транспортных средств;</w:t>
      </w:r>
    </w:p>
    <w:p w:rsidR="002B22F8" w:rsidRDefault="002B22F8">
      <w:pPr>
        <w:pStyle w:val="ConsPlusNormal"/>
        <w:spacing w:before="220"/>
        <w:ind w:firstLine="540"/>
        <w:jc w:val="both"/>
      </w:pPr>
      <w:r>
        <w:t>- расчет предельного размера платы за проведение ТО с приложением обосновывающих материалов.</w:t>
      </w:r>
    </w:p>
    <w:p w:rsidR="002B22F8" w:rsidRDefault="002B22F8">
      <w:pPr>
        <w:pStyle w:val="ConsPlusNormal"/>
        <w:spacing w:before="220"/>
        <w:ind w:firstLine="540"/>
        <w:jc w:val="both"/>
      </w:pPr>
      <w:r>
        <w:t>3.2. Предельный размер платы за проведение ТО</w:t>
      </w:r>
      <w:proofErr w:type="gramStart"/>
      <w:r>
        <w:t xml:space="preserve"> (</w:t>
      </w:r>
      <w:r w:rsidRPr="00067D2B">
        <w:rPr>
          <w:position w:val="-8"/>
        </w:rPr>
        <w:pict>
          <v:shape id="_x0000_i1025" style="width:22.5pt;height:19.5pt" coordsize="" o:spt="100" adj="0,,0" path="" filled="f" stroked="f">
            <v:stroke joinstyle="miter"/>
            <v:imagedata r:id="rId13" o:title="base_1_141732_32768"/>
            <v:formulas/>
            <v:path o:connecttype="segments"/>
          </v:shape>
        </w:pict>
      </w:r>
      <w:r>
        <w:t xml:space="preserve">) </w:t>
      </w:r>
      <w:proofErr w:type="gramEnd"/>
      <w:r>
        <w:t>рассчитывается по формуле:</w:t>
      </w:r>
    </w:p>
    <w:p w:rsidR="002B22F8" w:rsidRDefault="002B22F8">
      <w:pPr>
        <w:pStyle w:val="ConsPlusNormal"/>
        <w:ind w:firstLine="540"/>
        <w:jc w:val="both"/>
      </w:pPr>
    </w:p>
    <w:p w:rsidR="002B22F8" w:rsidRDefault="002B22F8">
      <w:pPr>
        <w:pStyle w:val="ConsPlusNormal"/>
        <w:jc w:val="center"/>
      </w:pPr>
      <w:r w:rsidRPr="00067D2B">
        <w:rPr>
          <w:position w:val="-22"/>
        </w:rPr>
        <w:pict>
          <v:shape id="_x0000_i1026" style="width:80.25pt;height:33.75pt" coordsize="" o:spt="100" adj="0,,0" path="" filled="f" stroked="f">
            <v:stroke joinstyle="miter"/>
            <v:imagedata r:id="rId14" o:title="base_1_141732_32769"/>
            <v:formulas/>
            <v:path o:connecttype="segments"/>
          </v:shape>
        </w:pict>
      </w:r>
      <w:r>
        <w:t>,</w:t>
      </w:r>
    </w:p>
    <w:p w:rsidR="002B22F8" w:rsidRDefault="002B22F8">
      <w:pPr>
        <w:pStyle w:val="ConsPlusNormal"/>
        <w:ind w:firstLine="540"/>
        <w:jc w:val="both"/>
      </w:pPr>
    </w:p>
    <w:p w:rsidR="002B22F8" w:rsidRDefault="002B22F8">
      <w:pPr>
        <w:pStyle w:val="ConsPlusNormal"/>
        <w:ind w:firstLine="540"/>
        <w:jc w:val="both"/>
      </w:pPr>
      <w:r>
        <w:t>где</w:t>
      </w:r>
    </w:p>
    <w:p w:rsidR="002B22F8" w:rsidRDefault="002B22F8">
      <w:pPr>
        <w:pStyle w:val="ConsPlusNormal"/>
        <w:spacing w:before="220"/>
        <w:ind w:firstLine="540"/>
        <w:jc w:val="both"/>
      </w:pPr>
      <w:r w:rsidRPr="00067D2B">
        <w:rPr>
          <w:position w:val="-8"/>
        </w:rPr>
        <w:pict>
          <v:shape id="_x0000_i1027" style="width:21pt;height:19.5pt" coordsize="" o:spt="100" adj="0,,0" path="" filled="f" stroked="f">
            <v:stroke joinstyle="miter"/>
            <v:imagedata r:id="rId15" o:title="base_1_141732_32770"/>
            <v:formulas/>
            <v:path o:connecttype="segments"/>
          </v:shape>
        </w:pict>
      </w:r>
      <w:r>
        <w:t xml:space="preserve"> - ставка работы оператора ТО за проведение ТО (руб./час);</w:t>
      </w:r>
    </w:p>
    <w:p w:rsidR="002B22F8" w:rsidRDefault="002B22F8">
      <w:pPr>
        <w:pStyle w:val="ConsPlusNormal"/>
        <w:spacing w:before="220"/>
        <w:ind w:firstLine="540"/>
        <w:jc w:val="both"/>
      </w:pPr>
      <w:r w:rsidRPr="00067D2B">
        <w:rPr>
          <w:position w:val="-8"/>
        </w:rPr>
        <w:pict>
          <v:shape id="_x0000_i1028" style="width:17.25pt;height:19.5pt" coordsize="" o:spt="100" adj="0,,0" path="" filled="f" stroked="f">
            <v:stroke joinstyle="miter"/>
            <v:imagedata r:id="rId16" o:title="base_1_141732_32771"/>
            <v:formulas/>
            <v:path o:connecttype="segments"/>
          </v:shape>
        </w:pict>
      </w:r>
      <w:r>
        <w:t xml:space="preserve"> - продолжительность технического диагностирования транспортных средств отдельных категорий в минутах;</w:t>
      </w:r>
    </w:p>
    <w:p w:rsidR="002B22F8" w:rsidRDefault="002B22F8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ФСТ России от 26.11.2012 N 751-а)</w:t>
      </w:r>
    </w:p>
    <w:p w:rsidR="002B22F8" w:rsidRDefault="002B22F8">
      <w:pPr>
        <w:pStyle w:val="ConsPlusNormal"/>
        <w:spacing w:before="220"/>
        <w:ind w:firstLine="540"/>
        <w:jc w:val="both"/>
      </w:pPr>
      <w:r>
        <w:t>60 - количество минут в 1 часе.</w:t>
      </w:r>
    </w:p>
    <w:p w:rsidR="002B22F8" w:rsidRDefault="002B22F8">
      <w:pPr>
        <w:pStyle w:val="ConsPlusNormal"/>
        <w:spacing w:before="220"/>
        <w:ind w:firstLine="540"/>
        <w:jc w:val="both"/>
      </w:pPr>
      <w:r>
        <w:t>Ставка работы оператора ТО рассчитывается по формуле:</w:t>
      </w:r>
    </w:p>
    <w:p w:rsidR="002B22F8" w:rsidRDefault="002B22F8">
      <w:pPr>
        <w:pStyle w:val="ConsPlusNormal"/>
        <w:ind w:firstLine="540"/>
        <w:jc w:val="both"/>
      </w:pPr>
    </w:p>
    <w:p w:rsidR="002B22F8" w:rsidRDefault="002B22F8">
      <w:pPr>
        <w:pStyle w:val="ConsPlusNormal"/>
        <w:jc w:val="center"/>
      </w:pPr>
      <w:r w:rsidRPr="00067D2B">
        <w:rPr>
          <w:position w:val="-26"/>
        </w:rPr>
        <w:pict>
          <v:shape id="_x0000_i1029" style="width:59.25pt;height:36.75pt" coordsize="" o:spt="100" adj="0,,0" path="" filled="f" stroked="f">
            <v:stroke joinstyle="miter"/>
            <v:imagedata r:id="rId18" o:title="base_1_141732_32772"/>
            <v:formulas/>
            <v:path o:connecttype="segments"/>
          </v:shape>
        </w:pict>
      </w:r>
      <w:r>
        <w:t xml:space="preserve"> (руб./час),</w:t>
      </w:r>
    </w:p>
    <w:p w:rsidR="002B22F8" w:rsidRDefault="002B22F8">
      <w:pPr>
        <w:pStyle w:val="ConsPlusNormal"/>
        <w:ind w:firstLine="540"/>
        <w:jc w:val="both"/>
      </w:pPr>
    </w:p>
    <w:p w:rsidR="002B22F8" w:rsidRDefault="002B22F8">
      <w:pPr>
        <w:pStyle w:val="ConsPlusNormal"/>
        <w:ind w:firstLine="540"/>
        <w:jc w:val="both"/>
      </w:pPr>
      <w:r>
        <w:t>где</w:t>
      </w:r>
    </w:p>
    <w:p w:rsidR="002B22F8" w:rsidRDefault="002B22F8">
      <w:pPr>
        <w:pStyle w:val="ConsPlusNormal"/>
        <w:spacing w:before="220"/>
        <w:ind w:firstLine="540"/>
        <w:jc w:val="both"/>
      </w:pPr>
      <w:r w:rsidRPr="00067D2B">
        <w:rPr>
          <w:position w:val="-8"/>
        </w:rPr>
        <w:pict>
          <v:shape id="_x0000_i1030" style="width:25.5pt;height:19.5pt" coordsize="" o:spt="100" adj="0,,0" path="" filled="f" stroked="f">
            <v:stroke joinstyle="miter"/>
            <v:imagedata r:id="rId19" o:title="base_1_141732_32773"/>
            <v:formulas/>
            <v:path o:connecttype="segments"/>
          </v:shape>
        </w:pict>
      </w:r>
      <w:r>
        <w:t xml:space="preserve"> - годовая валовая выручка, рассчитываемая как сумма планируемых расходов и планируемой прибыли оператора за проведение ТО.</w:t>
      </w:r>
    </w:p>
    <w:p w:rsidR="002B22F8" w:rsidRDefault="002B22F8">
      <w:pPr>
        <w:pStyle w:val="ConsPlusNormal"/>
        <w:spacing w:before="220"/>
        <w:ind w:firstLine="540"/>
        <w:jc w:val="both"/>
      </w:pPr>
      <w:r>
        <w:t>Валовая выручка рассчитывается по формуле:</w:t>
      </w:r>
    </w:p>
    <w:p w:rsidR="002B22F8" w:rsidRDefault="002B22F8">
      <w:pPr>
        <w:pStyle w:val="ConsPlusNormal"/>
        <w:ind w:firstLine="540"/>
        <w:jc w:val="both"/>
      </w:pPr>
    </w:p>
    <w:p w:rsidR="002B22F8" w:rsidRDefault="002B22F8">
      <w:pPr>
        <w:pStyle w:val="ConsPlusNormal"/>
        <w:jc w:val="center"/>
      </w:pPr>
      <w:r w:rsidRPr="00067D2B">
        <w:rPr>
          <w:position w:val="-8"/>
        </w:rPr>
        <w:pict>
          <v:shape id="_x0000_i1031" style="width:102pt;height:19.5pt" coordsize="" o:spt="100" adj="0,,0" path="" filled="f" stroked="f">
            <v:stroke joinstyle="miter"/>
            <v:imagedata r:id="rId20" o:title="base_1_141732_32774"/>
            <v:formulas/>
            <v:path o:connecttype="segments"/>
          </v:shape>
        </w:pict>
      </w:r>
      <w:r>
        <w:t xml:space="preserve"> (руб.),</w:t>
      </w:r>
    </w:p>
    <w:p w:rsidR="002B22F8" w:rsidRDefault="002B22F8">
      <w:pPr>
        <w:pStyle w:val="ConsPlusNormal"/>
        <w:ind w:firstLine="540"/>
        <w:jc w:val="both"/>
      </w:pPr>
    </w:p>
    <w:p w:rsidR="002B22F8" w:rsidRDefault="002B22F8">
      <w:pPr>
        <w:pStyle w:val="ConsPlusNormal"/>
        <w:ind w:firstLine="540"/>
        <w:jc w:val="both"/>
      </w:pPr>
      <w:r>
        <w:t>где</w:t>
      </w:r>
    </w:p>
    <w:p w:rsidR="002B22F8" w:rsidRDefault="002B22F8">
      <w:pPr>
        <w:pStyle w:val="ConsPlusNormal"/>
        <w:spacing w:before="220"/>
        <w:ind w:firstLine="540"/>
        <w:jc w:val="both"/>
      </w:pPr>
      <w:r w:rsidRPr="00067D2B">
        <w:rPr>
          <w:position w:val="-8"/>
        </w:rPr>
        <w:pict>
          <v:shape id="_x0000_i1032" style="width:16.5pt;height:19.5pt" coordsize="" o:spt="100" adj="0,,0" path="" filled="f" stroked="f">
            <v:stroke joinstyle="miter"/>
            <v:imagedata r:id="rId21" o:title="base_1_141732_32775"/>
            <v:formulas/>
            <v:path o:connecttype="segments"/>
          </v:shape>
        </w:pict>
      </w:r>
      <w:r>
        <w:t xml:space="preserve"> - прямые расходы;</w:t>
      </w:r>
    </w:p>
    <w:p w:rsidR="002B22F8" w:rsidRDefault="002B22F8">
      <w:pPr>
        <w:pStyle w:val="ConsPlusNormal"/>
        <w:spacing w:before="220"/>
        <w:ind w:firstLine="540"/>
        <w:jc w:val="both"/>
      </w:pPr>
      <w:r w:rsidRPr="00067D2B">
        <w:rPr>
          <w:position w:val="-8"/>
        </w:rPr>
        <w:lastRenderedPageBreak/>
        <w:pict>
          <v:shape id="_x0000_i1033" style="width:16.5pt;height:19.5pt" coordsize="" o:spt="100" adj="0,,0" path="" filled="f" stroked="f">
            <v:stroke joinstyle="miter"/>
            <v:imagedata r:id="rId22" o:title="base_1_141732_32776"/>
            <v:formulas/>
            <v:path o:connecttype="segments"/>
          </v:shape>
        </w:pict>
      </w:r>
      <w:r>
        <w:t xml:space="preserve"> - косвенные расходы;</w:t>
      </w:r>
    </w:p>
    <w:p w:rsidR="002B22F8" w:rsidRDefault="002B22F8">
      <w:pPr>
        <w:pStyle w:val="ConsPlusNormal"/>
        <w:spacing w:before="220"/>
        <w:ind w:firstLine="540"/>
        <w:jc w:val="both"/>
      </w:pPr>
      <w:proofErr w:type="gramStart"/>
      <w:r>
        <w:t>П</w:t>
      </w:r>
      <w:proofErr w:type="gramEnd"/>
      <w:r>
        <w:t xml:space="preserve"> - прибыль;</w:t>
      </w:r>
    </w:p>
    <w:p w:rsidR="002B22F8" w:rsidRDefault="002B22F8">
      <w:pPr>
        <w:pStyle w:val="ConsPlusNormal"/>
        <w:spacing w:before="220"/>
        <w:ind w:firstLine="540"/>
        <w:jc w:val="both"/>
      </w:pPr>
      <w:r w:rsidRPr="00067D2B">
        <w:rPr>
          <w:position w:val="-8"/>
        </w:rPr>
        <w:pict>
          <v:shape id="_x0000_i1034" style="width:18.75pt;height:19.5pt" coordsize="" o:spt="100" adj="0,,0" path="" filled="f" stroked="f">
            <v:stroke joinstyle="miter"/>
            <v:imagedata r:id="rId23" o:title="base_1_141732_32777"/>
            <v:formulas/>
            <v:path o:connecttype="segments"/>
          </v:shape>
        </w:pict>
      </w:r>
      <w:r>
        <w:t xml:space="preserve"> </w:t>
      </w:r>
      <w:proofErr w:type="gramStart"/>
      <w:r>
        <w:t xml:space="preserve">- планируемый годовой фонд рабочего времени технических экспертов оператора, рассчитанный как произведение количества технических экспертов на норму рабочего времени, определяемую на год в соответствии с </w:t>
      </w:r>
      <w:hyperlink r:id="rId24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13 августа 2009 г. N 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неделю" (зарегистрировано Минюстом</w:t>
      </w:r>
      <w:proofErr w:type="gramEnd"/>
      <w:r>
        <w:t xml:space="preserve"> России 28 сентября 2009 г., </w:t>
      </w:r>
      <w:proofErr w:type="gramStart"/>
      <w:r>
        <w:t>регистрационный</w:t>
      </w:r>
      <w:proofErr w:type="gramEnd"/>
      <w:r>
        <w:t xml:space="preserve"> N 14900).</w:t>
      </w:r>
    </w:p>
    <w:p w:rsidR="002B22F8" w:rsidRDefault="002B22F8">
      <w:pPr>
        <w:pStyle w:val="ConsPlusNormal"/>
        <w:ind w:firstLine="540"/>
        <w:jc w:val="both"/>
      </w:pPr>
    </w:p>
    <w:p w:rsidR="002B22F8" w:rsidRDefault="002B22F8">
      <w:pPr>
        <w:pStyle w:val="ConsPlusNormal"/>
        <w:ind w:firstLine="540"/>
        <w:jc w:val="both"/>
      </w:pPr>
    </w:p>
    <w:p w:rsidR="002B22F8" w:rsidRDefault="002B22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16AB" w:rsidRDefault="005916AB"/>
    <w:sectPr w:rsidR="005916AB" w:rsidSect="00EB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F8"/>
    <w:rsid w:val="002B22F8"/>
    <w:rsid w:val="0059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2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22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2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22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885EAEB834E3BEFFD6B84533FC65D2253AE8CAB412C06DAD4DFF708B856188FCFCB09FF953C37821DABD6028C7E83CD3035B251936DAC2wBO6I" TargetMode="External"/><Relationship Id="rId13" Type="http://schemas.openxmlformats.org/officeDocument/2006/relationships/image" Target="media/image1.wmf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hyperlink" Target="consultantplus://offline/ref=FD885EAEB834E3BEFFD6B84533FC65D2273AE0CFB417C06DAD4DFF708B856188FCFCB09FF953C27022DABD6028C7E83CD3035B251936DAC2wBO6I" TargetMode="External"/><Relationship Id="rId12" Type="http://schemas.openxmlformats.org/officeDocument/2006/relationships/hyperlink" Target="consultantplus://offline/ref=FD885EAEB834E3BEFFD6B84533FC65D2273FE9C0B210C06DAD4DFF708B856188EEFCE893F950DC7027CFEB316Ew9O3I" TargetMode="External"/><Relationship Id="rId17" Type="http://schemas.openxmlformats.org/officeDocument/2006/relationships/hyperlink" Target="consultantplus://offline/ref=FD885EAEB834E3BEFFD6B84533FC65D2273AE0CFB417C06DAD4DFF708B856188FCFCB09FF953C2702CDABD6028C7E83CD3035B251936DAC2wBO6I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4.wmf"/><Relationship Id="rId20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FD885EAEB834E3BEFFD6B84533FC65D2253AE8CAB412C06DAD4DFF708B856188FCFCB09FF953C37821DABD6028C7E83CD3035B251936DAC2wBO6I" TargetMode="External"/><Relationship Id="rId11" Type="http://schemas.openxmlformats.org/officeDocument/2006/relationships/hyperlink" Target="consultantplus://offline/ref=FD885EAEB834E3BEFFD6B84533FC65D2273AE0CFB417C06DAD4DFF708B856188FCFCB09FF953C27023DABD6028C7E83CD3035B251936DAC2wBO6I" TargetMode="External"/><Relationship Id="rId24" Type="http://schemas.openxmlformats.org/officeDocument/2006/relationships/hyperlink" Target="consultantplus://offline/ref=FD885EAEB834E3BEFFD6B84533FC65D22F3CE0CEB31A9D67A514F3728C8A3E8DFBEDB09EFA4DC2733AD3E933w6ODI" TargetMode="External"/><Relationship Id="rId5" Type="http://schemas.openxmlformats.org/officeDocument/2006/relationships/hyperlink" Target="consultantplus://offline/ref=FD885EAEB834E3BEFFD6B84533FC65D2273AE0CFB417C06DAD4DFF708B856188FCFCB09FF953C27022DABD6028C7E83CD3035B251936DAC2wBO6I" TargetMode="External"/><Relationship Id="rId15" Type="http://schemas.openxmlformats.org/officeDocument/2006/relationships/image" Target="media/image3.wmf"/><Relationship Id="rId23" Type="http://schemas.openxmlformats.org/officeDocument/2006/relationships/image" Target="media/image10.wmf"/><Relationship Id="rId10" Type="http://schemas.openxmlformats.org/officeDocument/2006/relationships/hyperlink" Target="consultantplus://offline/ref=FD885EAEB834E3BEFFD6B84533FC65D2253AE8CAB412C06DAD4DFF708B856188FCFCB09FF953C37821DABD6028C7E83CD3035B251936DAC2wBO6I" TargetMode="Externa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885EAEB834E3BEFFD6B84533FC65D2253AE8CAB412C06DAD4DFF708B856188EEFCE893F950DC7027CFEB316Ew9O3I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Шелест Анастасия Леонидовна</cp:lastModifiedBy>
  <cp:revision>1</cp:revision>
  <dcterms:created xsi:type="dcterms:W3CDTF">2021-03-03T08:14:00Z</dcterms:created>
  <dcterms:modified xsi:type="dcterms:W3CDTF">2021-03-03T08:15:00Z</dcterms:modified>
</cp:coreProperties>
</file>